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firstLine="1890"/>
        <w:rPr/>
      </w:pPr>
      <w:bookmarkStart w:id="0" w:name="_GoBack"/>
      <w:bookmarkEnd w:id="0"/>
      <w:r>
        <w:rPr/>
        <w:t xml:space="preserve">伊予市総合教育会議傍聴要領 </w:t>
      </w:r>
    </w:p>
    <w:p>
      <w:pPr>
        <w:pStyle w:val="Normal"/>
        <w:rPr/>
      </w:pPr>
      <w:r>
        <w:rPr/>
        <w:t xml:space="preserve">（趣旨） </w:t>
      </w:r>
    </w:p>
    <w:p>
      <w:pPr>
        <w:pStyle w:val="Normal"/>
        <w:rPr/>
      </w:pPr>
      <w:r>
        <w:rPr/>
        <w:t xml:space="preserve">第１条 この要領は、伊予市総合教育会議（以下「会議」という。）の傍聴に関し、必要な事項を定めるものとする。 </w:t>
      </w:r>
    </w:p>
    <w:p>
      <w:pPr>
        <w:pStyle w:val="Normal"/>
        <w:rPr/>
      </w:pPr>
      <w:r>
        <w:rPr/>
        <w:t xml:space="preserve">（傍聴の手続） </w:t>
      </w:r>
    </w:p>
    <w:p>
      <w:pPr>
        <w:pStyle w:val="Normal"/>
        <w:rPr/>
      </w:pPr>
      <w:r>
        <w:rPr/>
        <w:t xml:space="preserve">第２条 会議を傍聴しようとする者は、必要事項を傍聴人受付簿（別記様式）に記入しなければならない。 </w:t>
      </w:r>
    </w:p>
    <w:p>
      <w:pPr>
        <w:pStyle w:val="Normal"/>
        <w:rPr/>
      </w:pPr>
      <w:r>
        <w:rPr/>
        <w:t xml:space="preserve">（傍聴することができない者） </w:t>
      </w:r>
    </w:p>
    <w:p>
      <w:pPr>
        <w:pStyle w:val="Normal"/>
        <w:rPr/>
      </w:pPr>
      <w:r>
        <w:rPr/>
        <w:t xml:space="preserve">第３条 次の各号のいずれかに該当する者は、会議を傍聴することができない。 </w:t>
      </w:r>
    </w:p>
    <w:p>
      <w:pPr>
        <w:pStyle w:val="Normal"/>
        <w:rPr/>
      </w:pPr>
      <w:r>
        <w:rPr/>
        <w:t>(</w:t>
      </w:r>
      <w:r>
        <w:rPr/>
        <w:t>１</w:t>
      </w:r>
      <w:r>
        <w:rPr/>
        <w:t xml:space="preserve">) </w:t>
      </w:r>
      <w:r>
        <w:rPr/>
        <w:t xml:space="preserve">凶器その他危険と認められる物品を所持する者 </w:t>
      </w:r>
    </w:p>
    <w:p>
      <w:pPr>
        <w:pStyle w:val="Normal"/>
        <w:rPr/>
      </w:pPr>
      <w:r>
        <w:rPr/>
        <w:t>(</w:t>
      </w:r>
      <w:r>
        <w:rPr/>
        <w:t>２</w:t>
      </w:r>
      <w:r>
        <w:rPr/>
        <w:t xml:space="preserve">) </w:t>
      </w:r>
      <w:r>
        <w:rPr/>
        <w:t xml:space="preserve">酒気を帯びていると認められる者 </w:t>
      </w:r>
    </w:p>
    <w:p>
      <w:pPr>
        <w:pStyle w:val="Normal"/>
        <w:rPr/>
      </w:pPr>
      <w:r>
        <w:rPr/>
        <w:t>(</w:t>
      </w:r>
      <w:r>
        <w:rPr/>
        <w:t>３</w:t>
      </w:r>
      <w:r>
        <w:rPr/>
        <w:t xml:space="preserve">) </w:t>
      </w:r>
      <w:r>
        <w:rPr/>
        <w:t xml:space="preserve">旗、のぼり、ビラ、掲示板、プラカード等名目及び形状のいかんを問わずこれらのものを所持する者 </w:t>
      </w:r>
    </w:p>
    <w:p>
      <w:pPr>
        <w:pStyle w:val="Normal"/>
        <w:rPr/>
      </w:pPr>
      <w:r>
        <w:rPr/>
        <w:t>(</w:t>
      </w:r>
      <w:r>
        <w:rPr/>
        <w:t>４</w:t>
      </w:r>
      <w:r>
        <w:rPr/>
        <w:t xml:space="preserve">) </w:t>
      </w:r>
      <w:r>
        <w:rPr/>
        <w:t>前各号のほか、議長が傍聴を不適当と認める者</w:t>
      </w:r>
    </w:p>
    <w:p>
      <w:pPr>
        <w:pStyle w:val="Normal"/>
        <w:rPr/>
      </w:pPr>
      <w:r>
        <w:rPr/>
        <w:t>（傍聴の制限等）</w:t>
      </w:r>
    </w:p>
    <w:p>
      <w:pPr>
        <w:pStyle w:val="Normal"/>
        <w:rPr/>
      </w:pPr>
      <w:r>
        <w:rPr/>
        <w:t>第４条 議長は、傍聴席が満席となったときは、新たな傍聴を制限し、又は拒否することができる。</w:t>
      </w:r>
    </w:p>
    <w:p>
      <w:pPr>
        <w:pStyle w:val="Normal"/>
        <w:rPr/>
      </w:pPr>
      <w:r>
        <w:rPr/>
        <w:t xml:space="preserve">（傍聴人の守るべき事項等） </w:t>
      </w:r>
    </w:p>
    <w:p>
      <w:pPr>
        <w:pStyle w:val="Normal"/>
        <w:rPr/>
      </w:pPr>
      <w:r>
        <w:rPr/>
        <w:t xml:space="preserve">第５条 傍聴人は、次の事項を守らなければならない。 </w:t>
      </w:r>
    </w:p>
    <w:p>
      <w:pPr>
        <w:pStyle w:val="Normal"/>
        <w:rPr/>
      </w:pPr>
      <w:r>
        <w:rPr/>
        <w:t>(</w:t>
      </w:r>
      <w:r>
        <w:rPr/>
        <w:t>１</w:t>
      </w:r>
      <w:r>
        <w:rPr/>
        <w:t xml:space="preserve">) </w:t>
      </w:r>
      <w:r>
        <w:rPr/>
        <w:t xml:space="preserve">みだりに傍聴席を離れないこと。 </w:t>
      </w:r>
    </w:p>
    <w:p>
      <w:pPr>
        <w:pStyle w:val="Normal"/>
        <w:rPr/>
      </w:pPr>
      <w:r>
        <w:rPr/>
        <w:t>(</w:t>
      </w:r>
      <w:r>
        <w:rPr/>
        <w:t>２</w:t>
      </w:r>
      <w:r>
        <w:rPr/>
        <w:t xml:space="preserve">) </w:t>
      </w:r>
      <w:r>
        <w:rPr/>
        <w:t xml:space="preserve">私語、雑談、拍手等をしないこと。 </w:t>
      </w:r>
    </w:p>
    <w:p>
      <w:pPr>
        <w:pStyle w:val="Normal"/>
        <w:rPr/>
      </w:pPr>
      <w:r>
        <w:rPr/>
        <w:t>(</w:t>
      </w:r>
      <w:r>
        <w:rPr/>
        <w:t>３</w:t>
      </w:r>
      <w:r>
        <w:rPr/>
        <w:t xml:space="preserve">) </w:t>
      </w:r>
      <w:r>
        <w:rPr/>
        <w:t xml:space="preserve">議事に批評を加え、又は賛否を表明しないこと。 </w:t>
      </w:r>
    </w:p>
    <w:p>
      <w:pPr>
        <w:pStyle w:val="Normal"/>
        <w:rPr/>
      </w:pPr>
      <w:r>
        <w:rPr/>
        <w:t>(</w:t>
      </w:r>
      <w:r>
        <w:rPr/>
        <w:t>４</w:t>
      </w:r>
      <w:r>
        <w:rPr/>
        <w:t xml:space="preserve">) </w:t>
      </w:r>
      <w:r>
        <w:rPr/>
        <w:t xml:space="preserve">飲食又は喫煙をしないこと。 </w:t>
      </w:r>
    </w:p>
    <w:p>
      <w:pPr>
        <w:pStyle w:val="Normal"/>
        <w:rPr/>
      </w:pPr>
      <w:r>
        <w:rPr/>
        <w:t>(</w:t>
      </w:r>
      <w:r>
        <w:rPr/>
        <w:t>５</w:t>
      </w:r>
      <w:r>
        <w:rPr/>
        <w:t xml:space="preserve">) </w:t>
      </w:r>
      <w:r>
        <w:rPr/>
        <w:t xml:space="preserve">写真、ビデオ等を撮影し、又は録音等をしないこと。 </w:t>
      </w:r>
    </w:p>
    <w:p>
      <w:pPr>
        <w:pStyle w:val="Normal"/>
        <w:rPr/>
      </w:pPr>
      <w:r>
        <w:rPr/>
        <w:t>(</w:t>
      </w:r>
      <w:r>
        <w:rPr/>
        <w:t>６</w:t>
      </w:r>
      <w:r>
        <w:rPr/>
        <w:t xml:space="preserve">) </w:t>
      </w:r>
      <w:r>
        <w:rPr/>
        <w:t xml:space="preserve">前各号のほか、会議の妨害となるような行為をしないこと。 </w:t>
      </w:r>
    </w:p>
    <w:p>
      <w:pPr>
        <w:pStyle w:val="Normal"/>
        <w:rPr/>
      </w:pPr>
      <w:r>
        <w:rPr/>
        <w:t xml:space="preserve">２ 議長は、傍聴人が前項の規定に違反したときは、直ちにこれを制止し、その命令に従わない者を退場させることができる。 </w:t>
      </w:r>
    </w:p>
    <w:p>
      <w:pPr>
        <w:pStyle w:val="Normal"/>
        <w:rPr/>
      </w:pPr>
      <w:r>
        <w:rPr/>
        <w:t xml:space="preserve">（退場） </w:t>
      </w:r>
    </w:p>
    <w:p>
      <w:pPr>
        <w:pStyle w:val="Normal"/>
        <w:rPr/>
      </w:pPr>
      <w:r>
        <w:rPr/>
        <w:t xml:space="preserve">第６条 傍聴人は、前条第２項の規定により退場を命ぜられたとき又は会議が非公開を宣告したときは、直ちに退場しなければならない。 </w:t>
      </w:r>
    </w:p>
    <w:p>
      <w:pPr>
        <w:pStyle w:val="Normal"/>
        <w:rPr/>
      </w:pPr>
      <w:r>
        <w:rPr/>
        <w:t xml:space="preserve">（議長の指示） </w:t>
      </w:r>
    </w:p>
    <w:p>
      <w:pPr>
        <w:pStyle w:val="Normal"/>
        <w:rPr/>
      </w:pPr>
      <w:r>
        <w:rPr/>
        <w:t>第７条 前各条に規定するもののほか、傍聴人は、議長の指示に従わなければならない。</w:t>
      </w:r>
    </w:p>
    <w:p>
      <w:pPr>
        <w:pStyle w:val="Normal"/>
        <w:rPr/>
      </w:pPr>
      <w:r>
        <w:rPr/>
        <w:t xml:space="preserve"> </w:t>
      </w:r>
    </w:p>
    <w:p>
      <w:pPr>
        <w:pStyle w:val="Normal"/>
        <w:ind w:firstLine="420"/>
        <w:rPr/>
      </w:pPr>
      <w:r>
        <w:rPr/>
        <w:t xml:space="preserve">附 則 </w:t>
      </w:r>
    </w:p>
    <w:p>
      <w:pPr>
        <w:pStyle w:val="Normal"/>
        <w:rPr/>
      </w:pPr>
      <w:r>
        <w:rPr/>
        <w:t>この要領は、平成</w:t>
      </w:r>
      <w:r>
        <w:rPr/>
        <w:t>27</w:t>
      </w:r>
      <w:r>
        <w:rPr/>
        <w:t>年</w:t>
      </w:r>
      <w:r>
        <w:rPr/>
        <w:t>10</w:t>
      </w:r>
      <w:r>
        <w:rPr/>
        <w:t>月</w:t>
      </w:r>
      <w:r>
        <w:rPr/>
        <w:t>14</w:t>
      </w:r>
      <w:r>
        <w:rPr/>
        <w:t>日から施行する。</w:t>
      </w:r>
    </w:p>
    <w:p>
      <w:pPr>
        <w:pStyle w:val="Normal"/>
        <w:rPr/>
      </w:pPr>
      <w:r>
        <w:rPr/>
      </w:r>
    </w:p>
    <w:p>
      <w:pPr>
        <w:pStyle w:val="Normal"/>
        <w:rPr/>
      </w:pPr>
      <w:r>
        <w:rPr/>
      </w:r>
    </w:p>
    <w:p>
      <w:pPr>
        <w:pStyle w:val="Normal"/>
        <w:rPr/>
      </w:pPr>
      <w:r>
        <w:rPr/>
      </w:r>
    </w:p>
    <w:p>
      <w:pPr>
        <w:pStyle w:val="Normal"/>
        <w:rPr/>
      </w:pPr>
      <w:r>
        <w:rPr/>
      </w:r>
    </w:p>
    <w:p>
      <w:pPr>
        <w:pStyle w:val="Normal"/>
        <w:rPr/>
      </w:pPr>
      <w:r>
        <w:rPr/>
        <w:t>別記様式（第２条関係）</w:t>
      </w:r>
    </w:p>
    <w:p>
      <w:pPr>
        <w:pStyle w:val="Normal"/>
        <w:ind w:firstLine="4200"/>
        <w:rPr/>
      </w:pPr>
      <w:r>
        <w:rPr/>
        <w:t>傍聴人受付簿</w:t>
      </w:r>
    </w:p>
    <w:p>
      <w:pPr>
        <w:pStyle w:val="Normal"/>
        <w:ind w:firstLine="6510"/>
        <w:rPr/>
      </w:pPr>
      <w:r>
        <w:rPr/>
        <w:t>【開催日時】</w:t>
      </w:r>
    </w:p>
    <w:p>
      <w:pPr>
        <w:pStyle w:val="Normal"/>
        <w:ind w:firstLine="6510"/>
        <w:rPr/>
      </w:pPr>
      <w:r>
        <w:rPr/>
        <w:t>【開催場所】</w:t>
      </w:r>
    </w:p>
    <w:p>
      <w:pPr>
        <w:pStyle w:val="Normal"/>
        <w:rPr/>
      </w:pPr>
      <w:r>
        <w:rPr/>
        <w:t>　　　　　　　　　　</w:t>
      </w:r>
    </w:p>
    <w:tbl>
      <w:tblPr>
        <w:tblStyle w:val="a4"/>
        <w:tblW w:w="99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90"/>
        <w:gridCol w:w="2295"/>
        <w:gridCol w:w="4110"/>
        <w:gridCol w:w="2766"/>
      </w:tblGrid>
      <w:tr>
        <w:trPr>
          <w:trHeight w:val="738" w:hRule="atLeast"/>
        </w:trPr>
        <w:tc>
          <w:tcPr>
            <w:tcW w:w="790" w:type="dxa"/>
            <w:tcBorders/>
            <w:shd w:color="auto" w:fill="F2F2F2" w:themeFill="background1" w:themeFillShade="f2" w:val="clear"/>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番号</w:t>
            </w:r>
          </w:p>
        </w:tc>
        <w:tc>
          <w:tcPr>
            <w:tcW w:w="2295" w:type="dxa"/>
            <w:tcBorders/>
            <w:shd w:color="auto" w:fill="F2F2F2" w:themeFill="background1" w:themeFillShade="f2" w:val="clear"/>
            <w:vAlign w:val="center"/>
          </w:tcPr>
          <w:p>
            <w:pPr>
              <w:pStyle w:val="Normal"/>
              <w:widowControl w:val="false"/>
              <w:spacing w:before="0" w:after="0"/>
              <w:ind w:firstLine="63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氏　　名</w:t>
            </w:r>
          </w:p>
        </w:tc>
        <w:tc>
          <w:tcPr>
            <w:tcW w:w="4110" w:type="dxa"/>
            <w:tcBorders/>
            <w:shd w:color="auto" w:fill="F2F2F2" w:themeFill="background1" w:themeFillShade="f2" w:val="clear"/>
            <w:vAlign w:val="center"/>
          </w:tcPr>
          <w:p>
            <w:pPr>
              <w:pStyle w:val="Normal"/>
              <w:widowControl w:val="false"/>
              <w:spacing w:before="0" w:after="0"/>
              <w:ind w:firstLine="1260"/>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住　　　　 所</w:t>
            </w:r>
          </w:p>
        </w:tc>
        <w:tc>
          <w:tcPr>
            <w:tcW w:w="2766" w:type="dxa"/>
            <w:tcBorders/>
            <w:shd w:color="auto" w:fill="F2F2F2" w:themeFill="background1" w:themeFillShade="f2" w:val="clear"/>
            <w:vAlign w:val="center"/>
          </w:tcPr>
          <w:p>
            <w:pPr>
              <w:pStyle w:val="Normal"/>
              <w:widowControl w:val="false"/>
              <w:spacing w:before="0" w:after="0"/>
              <w:jc w:val="center"/>
              <w:rPr>
                <w:rFonts w:ascii="Century" w:hAnsi="Century" w:eastAsia="ＭＳ 明朝" w:cs=""/>
                <w:kern w:val="2"/>
                <w:sz w:val="21"/>
                <w:szCs w:val="22"/>
                <w:lang w:val="en-US" w:eastAsia="ja-JP" w:bidi="ar-SA"/>
              </w:rPr>
            </w:pPr>
            <w:r>
              <w:rPr>
                <w:rFonts w:ascii="Century" w:hAnsi="Century" w:cs=""/>
                <w:kern w:val="2"/>
                <w:sz w:val="21"/>
                <w:szCs w:val="22"/>
                <w:lang w:val="en-US" w:eastAsia="ja-JP" w:bidi="ar-SA"/>
              </w:rPr>
              <w:t>報道機関等の場合は会社名</w:t>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r>
        <w:trPr/>
        <w:tc>
          <w:tcPr>
            <w:tcW w:w="79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295"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4110"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c>
          <w:tcPr>
            <w:tcW w:w="2766" w:type="dxa"/>
            <w:tcBorders/>
          </w:tcPr>
          <w:p>
            <w:pPr>
              <w:pStyle w:val="Normal"/>
              <w:widowControl w:val="false"/>
              <w:spacing w:before="0" w:after="0"/>
              <w:rPr>
                <w:rFonts w:ascii="Century" w:hAnsi="Century" w:eastAsia="ＭＳ 明朝" w:cs=""/>
                <w:kern w:val="2"/>
                <w:sz w:val="21"/>
                <w:szCs w:val="22"/>
                <w:lang w:val="en-US" w:eastAsia="ja-JP" w:bidi="ar-SA"/>
              </w:rPr>
            </w:pPr>
            <w:r>
              <w:rPr>
                <w:rFonts w:eastAsia="ＭＳ 明朝" w:cs=""/>
                <w:kern w:val="2"/>
                <w:sz w:val="21"/>
                <w:szCs w:val="22"/>
                <w:lang w:val="en-US" w:eastAsia="ja-JP" w:bidi="ar-SA"/>
              </w:rPr>
            </w:r>
          </w:p>
        </w:tc>
      </w:tr>
    </w:tbl>
    <w:p>
      <w:pPr>
        <w:pStyle w:val="Normal"/>
        <w:rPr/>
      </w:pPr>
      <w:r>
        <w:rPr/>
      </w:r>
    </w:p>
    <w:sectPr>
      <w:type w:val="nextPage"/>
      <w:pgSz w:w="11906" w:h="16838"/>
      <w:pgMar w:left="1080" w:right="1080" w:gutter="0" w:header="0" w:top="1440" w:footer="0" w:bottom="144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paragraph" w:styleId="Style14">
    <w:name w:val="見出し"/>
    <w:basedOn w:val="Normal"/>
    <w:next w:val="Style15"/>
    <w:qFormat/>
    <w:pPr>
      <w:keepNext w:val="true"/>
      <w:spacing w:before="240" w:after="120"/>
    </w:pPr>
    <w:rPr>
      <w:rFonts w:ascii="Liberation Sans" w:hAnsi="Liberation Sans" w:eastAsia="游ゴシック"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索引"/>
    <w:basedOn w:val="Normal"/>
    <w:qFormat/>
    <w:pPr>
      <w:suppressLineNumbers/>
    </w:pPr>
    <w:rPr>
      <w:rFonts w:cs="Arial"/>
      <w:lang w:val="zxx" w:eastAsia="zxx" w:bidi="zxx"/>
    </w:rPr>
  </w:style>
  <w:style w:type="paragraph" w:styleId="ListParagraph">
    <w:name w:val="List Paragraph"/>
    <w:basedOn w:val="Normal"/>
    <w:uiPriority w:val="34"/>
    <w:qFormat/>
    <w:rsid w:val="00a845de"/>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4">
    <w:name w:val="Table Grid"/>
    <w:basedOn w:val="a1"/>
    <w:uiPriority w:val="59"/>
    <w:rsid w:val="004c5c7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LibreOffice/7.4.0.3$Windows_X86_64 LibreOffice_project/f85e47c08ddd19c015c0114a68350214f7066f5a</Application>
  <AppVersion>15.0000</AppVersion>
  <Pages>3</Pages>
  <Words>747</Words>
  <Characters>750</Characters>
  <CharactersWithSpaces>810</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2022-10-12T02:34:00Z</dcterms:created>
  <dc:creator>iyolocaladmin</dc:creator>
  <dc:description/>
  <dc:language>ja-JP</dc:language>
  <cp:lastModifiedBy/>
  <cp:lastPrinted>2015-10-07T01:40:00Z</cp:lastPrinted>
  <dcterms:modified xsi:type="dcterms:W3CDTF">2024-09-26T11:42:46Z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