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42"/>
        <w:gridCol w:w="3343"/>
        <w:gridCol w:w="2949"/>
      </w:tblGrid>
      <w:tr>
        <w:trPr>
          <w:trHeight w:val="400" w:hRule="atLeast"/>
        </w:trPr>
        <w:tc>
          <w:tcPr>
            <w:tcW w:w="963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center"/>
              <w:rPr>
                <w:rFonts w:ascii="ＭＳ ゴシック" w:hAnsi="ＭＳ ゴシック" w:eastAsia="ＭＳ ゴシック"/>
              </w:rPr>
            </w:pPr>
            <w:r>
              <w:rPr>
                <w:rFonts w:ascii="ＭＳ ゴシック" w:hAnsi="ＭＳ ゴシック" w:eastAsia="ＭＳ ゴシック"/>
              </w:rPr>
              <w:t>認定権者記載欄</w:t>
            </w:r>
          </w:p>
        </w:tc>
      </w:tr>
      <w:tr>
        <w:trPr>
          <w:trHeight w:val="238" w:hRule="atLeast"/>
        </w:trPr>
        <w:tc>
          <w:tcPr>
            <w:tcW w:w="3342"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r>
      <w:tr>
        <w:trPr>
          <w:trHeight w:val="273" w:hRule="atLeast"/>
        </w:trPr>
        <w:tc>
          <w:tcPr>
            <w:tcW w:w="3342"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r>
    </w:tbl>
    <w:p>
      <w:pPr>
        <w:pStyle w:val="Normal"/>
        <w:suppressAutoHyphens w:val="true"/>
        <w:spacing w:lineRule="exact" w:line="30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様式第５－（イ）－②</w:t>
      </w:r>
    </w:p>
    <w:tbl>
      <w:tblPr>
        <w:tblW w:w="9582"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9582"/>
      </w:tblGrid>
      <w:tr>
        <w:trPr>
          <w:trHeight w:val="6978" w:hRule="atLeast"/>
        </w:trPr>
        <w:tc>
          <w:tcPr>
            <w:tcW w:w="958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jc w:val="center"/>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中小企業信用保険法第２条第５項第５号の規定による認定申請書（イ－②）</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年　　月　　日</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伊予市長　殿</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lang w:eastAsia="zh-TW"/>
              </w:rPr>
              <w:t>申請者</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u w:val="single" w:color="000000"/>
                <w:lang w:eastAsia="zh-TW"/>
              </w:rPr>
              <w:t>住　所　　　　　　　　　　　　　　　　　</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u w:val="single" w:color="000000"/>
                <w:lang w:eastAsia="zh-TW"/>
              </w:rPr>
              <w:t>氏　名　　　　　　　　　　　　　 　　 　</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lang w:eastAsia="zh-TW"/>
              </w:rPr>
            </w:pPr>
            <w:r>
              <w:rPr>
                <w:rFonts w:eastAsia="ＭＳ ゴシック" w:ascii="ＭＳ ゴシック" w:hAnsi="ＭＳ ゴシック"/>
                <w:color w:val="000000"/>
                <w:spacing w:val="16"/>
                <w:kern w:val="0"/>
                <w:lang w:eastAsia="zh-TW"/>
              </w:rPr>
            </w:r>
          </w:p>
          <w:p>
            <w:pPr>
              <w:pStyle w:val="Normal"/>
              <w:widowControl w:val="false"/>
              <w:suppressAutoHyphens w:val="true"/>
              <w:overflowPunct w:val="false"/>
              <w:ind w:right="561" w:hanging="0"/>
              <w:jc w:val="left"/>
              <w:textAlignment w:val="baseline"/>
              <w:rPr>
                <w:rFonts w:ascii="ＭＳ ゴシック" w:hAnsi="ＭＳ ゴシック" w:eastAsia="ＭＳ ゴシック"/>
                <w:spacing w:val="16"/>
              </w:rPr>
            </w:pP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rPr>
              <w:t>私は、表に記載する業を営んでいるが、下記のとおり、</w:t>
            </w:r>
            <w:r>
              <w:rPr>
                <w:rFonts w:ascii="ＭＳ ゴシック" w:hAnsi="ＭＳ ゴシック" w:eastAsia="ＭＳ ゴシック"/>
                <w:color w:val="000000"/>
                <w:kern w:val="0"/>
                <w:u w:val="single"/>
              </w:rPr>
              <w:t>　　　　</w:t>
            </w:r>
            <w:r>
              <w:rPr>
                <w:rFonts w:ascii="ＭＳ ゴシック" w:hAnsi="ＭＳ ゴシック" w:eastAsia="ＭＳ ゴシック"/>
                <w:color w:val="000000"/>
                <w:kern w:val="0"/>
                <w:u w:val="single" w:color="000000"/>
              </w:rPr>
              <w:t>（注２）</w:t>
            </w:r>
            <w:r>
              <w:rPr>
                <w:rFonts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Closing"/>
              <w:widowControl w:val="false"/>
              <w:jc w:val="left"/>
              <w:rPr/>
            </w:pPr>
            <w:r>
              <w:rPr/>
              <w:t>（表</w:t>
            </w:r>
            <w:r>
              <w:rPr/>
              <w:t>)</w:t>
            </w:r>
          </w:p>
          <w:tbl>
            <w:tblPr>
              <w:tblW w:w="935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63"/>
              <w:gridCol w:w="3163"/>
              <w:gridCol w:w="3025"/>
            </w:tblGrid>
            <w:tr>
              <w:trPr>
                <w:trHeight w:val="372" w:hRule="atLeast"/>
              </w:trPr>
              <w:tc>
                <w:tcPr>
                  <w:tcW w:w="3163"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overflowPunct w:val="false"/>
                    <w:jc w:val="center"/>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3"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0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r>
              <w:trPr>
                <w:trHeight w:val="388" w:hRule="atLeast"/>
              </w:trPr>
              <w:tc>
                <w:tcPr>
                  <w:tcW w:w="3163"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0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widowControl w:val="false"/>
              <w:suppressAutoHyphens w:val="true"/>
              <w:overflowPunct w:val="false"/>
              <w:ind w:firstLine="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w:t>
            </w:r>
            <w:r>
              <w:rPr>
                <w:rFonts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jc w:val="center"/>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記</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lang w:eastAsia="zh-TW"/>
              </w:rPr>
            </w:pPr>
            <w:r>
              <w:rPr>
                <w:rFonts w:eastAsia="ＭＳ ゴシック" w:ascii="ＭＳ ゴシック" w:hAnsi="ＭＳ ゴシック"/>
                <w:color w:val="000000"/>
                <w:spacing w:val="16"/>
                <w:kern w:val="0"/>
                <w:lang w:eastAsia="zh-TW"/>
              </w:rPr>
            </w:r>
          </w:p>
          <w:p>
            <w:pPr>
              <w:pStyle w:val="Normal"/>
              <w:widowControl w:val="false"/>
              <w:suppressAutoHyphens w:val="true"/>
              <w:overflowPunct w:val="false"/>
              <w:jc w:val="left"/>
              <w:textAlignment w:val="baseline"/>
              <w:rPr>
                <w:rFonts w:ascii="ＭＳ ゴシック" w:hAnsi="ＭＳ ゴシック" w:eastAsia="ＭＳ ゴシック"/>
                <w:color w:val="000000"/>
                <w:kern w:val="0"/>
                <w:lang w:eastAsia="zh-TW"/>
              </w:rPr>
            </w:pPr>
            <w:r>
              <w:rPr>
                <w:rFonts w:ascii="ＭＳ ゴシック" w:hAnsi="ＭＳ ゴシック" w:eastAsia="ＭＳ ゴシック"/>
                <w:color w:val="000000"/>
                <w:spacing w:val="16"/>
                <w:kern w:val="0"/>
                <w:lang w:eastAsia="zh-TW"/>
              </w:rPr>
              <w:t>１　事業開始年月日　　　　　　　　　　　　　　　　</w:t>
            </w:r>
            <w:r>
              <w:rPr>
                <w:rFonts w:ascii="ＭＳ ゴシック" w:hAnsi="ＭＳ ゴシック" w:eastAsia="ＭＳ ゴシック"/>
                <w:color w:val="000000"/>
                <w:spacing w:val="16"/>
                <w:kern w:val="0"/>
                <w:u w:val="single"/>
                <w:lang w:eastAsia="zh-TW"/>
              </w:rPr>
              <w:t>　　　年　　　月　　　日</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２　売上高等</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color="000000"/>
              </w:rPr>
              <w:t xml:space="preserve"> Ｂ－Ａ</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color="000000"/>
              </w:rPr>
              <w:t>指定業種の減少率　　　  　　　　　％</w:t>
            </w:r>
          </w:p>
          <w:p>
            <w:pPr>
              <w:pStyle w:val="Normal"/>
              <w:widowControl w:val="false"/>
              <w:suppressAutoHyphens w:val="true"/>
              <w:overflowPunct w:val="false"/>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Ｂ   </w:t>
            </w:r>
            <w:r>
              <w:rPr>
                <w:rFonts w:eastAsia="ＭＳ ゴシック" w:ascii="ＭＳ ゴシック" w:hAnsi="ＭＳ ゴシック"/>
                <w:color w:val="000000"/>
                <w:kern w:val="0"/>
              </w:rPr>
              <w:t xml:space="preserve">×100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rPr>
              <w:t>全体の</w:t>
            </w:r>
            <w:r>
              <w:rPr>
                <w:rFonts w:ascii="ＭＳ ゴシック" w:hAnsi="ＭＳ ゴシック" w:eastAsia="ＭＳ ゴシック"/>
                <w:color w:val="000000"/>
                <w:kern w:val="0"/>
                <w:u w:val="single" w:color="000000"/>
              </w:rPr>
              <w:t>減少率　　 　　　　　　　 　％</w:t>
            </w:r>
          </w:p>
          <w:p>
            <w:pPr>
              <w:pStyle w:val="Normal"/>
              <w:widowControl w:val="false"/>
              <w:suppressAutoHyphens w:val="true"/>
              <w:overflowPunct w:val="false"/>
              <w:jc w:val="left"/>
              <w:textAlignment w:val="baseline"/>
              <w:rPr>
                <w:rFonts w:ascii="ＭＳ ゴシック" w:hAnsi="ＭＳ ゴシック" w:eastAsia="ＭＳ ゴシック"/>
                <w:color w:val="000000"/>
                <w:kern w:val="0"/>
                <w:u w:val="single" w:color="000000"/>
              </w:rPr>
            </w:pPr>
            <w:r>
              <w:rPr>
                <w:rFonts w:eastAsia="ＭＳ ゴシック" w:ascii="ＭＳ ゴシック" w:hAnsi="ＭＳ ゴシック"/>
                <w:color w:val="000000"/>
                <w:kern w:val="0"/>
                <w:u w:val="single" w:color="000000"/>
              </w:rPr>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rPr>
              <w:t>最近３か月間における全体の売上高等に占める指定業種の売上高等の割合　　　　 　　　％</w:t>
            </w:r>
          </w:p>
          <w:p>
            <w:pPr>
              <w:pStyle w:val="Normal"/>
              <w:widowControl w:val="false"/>
              <w:suppressAutoHyphens w:val="true"/>
              <w:overflowPunct w:val="false"/>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Ａ：申込時点における最近３か月間の売上高等（　　　年　　　月　　～　　　年　　　月）</w:t>
            </w:r>
          </w:p>
          <w:p>
            <w:pPr>
              <w:pStyle w:val="Normal"/>
              <w:widowControl w:val="false"/>
              <w:suppressAutoHyphens w:val="true"/>
              <w:overflowPunct w:val="false"/>
              <w:ind w:left="105" w:hanging="0"/>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指定業種の売上高等　　　　　　　　円</w:t>
            </w:r>
          </w:p>
          <w:p>
            <w:pPr>
              <w:pStyle w:val="Normal"/>
              <w:widowControl w:val="false"/>
              <w:suppressAutoHyphens w:val="true"/>
              <w:overflowPunct w:val="false"/>
              <w:ind w:left="105" w:hanging="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全体の売上高等</w:t>
            </w:r>
            <w:r>
              <w:rPr>
                <w:rFonts w:ascii="ＭＳ ゴシック" w:hAnsi="ＭＳ ゴシック" w:eastAsia="ＭＳ ゴシック"/>
                <w:color w:val="000000"/>
                <w:kern w:val="0"/>
                <w:u w:val="single" w:color="000000"/>
              </w:rPr>
              <w:t>　　　　  　　　　　円</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Ｂ：Ａの期間に対応する前年の３か月間の売上高等（　　　年　　　月　～　　　年　　　月）</w:t>
            </w:r>
          </w:p>
          <w:p>
            <w:pPr>
              <w:pStyle w:val="Normal"/>
              <w:widowControl w:val="false"/>
              <w:suppressAutoHyphens w:val="true"/>
              <w:overflowPunct w:val="false"/>
              <w:ind w:left="168" w:hanging="0"/>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rPr>
              <w:t>指定業種の売上高等　　　　　　　　円</w:t>
            </w:r>
          </w:p>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全体の売上高等</w:t>
            </w:r>
            <w:r>
              <w:rPr>
                <w:rFonts w:ascii="ＭＳ ゴシック" w:hAnsi="ＭＳ ゴシック" w:eastAsia="ＭＳ ゴシック"/>
                <w:color w:val="000000"/>
                <w:kern w:val="0"/>
                <w:u w:val="single" w:color="000000"/>
              </w:rPr>
              <w:t>　　　　  　　　　　円</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t>　　　</w:t>
            </w:r>
            <w:r>
              <w:rPr>
                <w:rFonts w:ascii="ＭＳ ゴシック" w:hAnsi="ＭＳ ゴシック" w:eastAsia="ＭＳ ゴシック"/>
                <w:color w:val="000000"/>
                <w:spacing w:val="16"/>
                <w:kern w:val="0"/>
              </w:rPr>
              <w:t>第　　　号</w:t>
            </w:r>
          </w:p>
          <w:p>
            <w:pPr>
              <w:pStyle w:val="Normal"/>
              <w:widowControl w:val="false"/>
              <w:suppressAutoHyphens w:val="true"/>
              <w:overflowPunct w:val="false"/>
              <w:ind w:firstLine="24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令和　　　年　　　月　　　日</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申請のとおり、相違ないことを認定します。</w:t>
            </w:r>
          </w:p>
          <w:p>
            <w:pPr>
              <w:pStyle w:val="Normal"/>
              <w:widowControl w:val="false"/>
              <w:suppressAutoHyphens w:val="true"/>
              <w:overflowPunct w:val="fals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（注）信用保証協会への申込期間</w:t>
            </w:r>
          </w:p>
          <w:p>
            <w:pPr>
              <w:pStyle w:val="Normal"/>
              <w:widowControl w:val="false"/>
              <w:suppressAutoHyphens w:val="true"/>
              <w:overflowPunct w:val="false"/>
              <w:spacing w:lineRule="atLeast" w:line="274"/>
              <w:ind w:firstLine="726"/>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年　　　月　　　日から　　　　年　　　月　　　日まで</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認定者名</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suppressAutoHyphens w:val="true"/>
        <w:spacing w:lineRule="exact" w:line="240"/>
        <w:ind w:left="862" w:hanging="862"/>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240"/>
        <w:ind w:left="862" w:hanging="862"/>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Normal"/>
        <w:suppressAutoHyphens w:val="true"/>
        <w:spacing w:lineRule="exact" w:line="240"/>
        <w:ind w:left="862" w:hanging="862"/>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（注２）</w:t>
      </w:r>
      <w:r>
        <w:rPr>
          <w:rFonts w:ascii="ＭＳ ゴシック" w:hAnsi="ＭＳ ゴシック" w:eastAsia="ＭＳ ゴシック"/>
          <w:color w:val="000000"/>
          <w:kern w:val="0"/>
          <w:u w:val="single"/>
        </w:rPr>
        <w:t>　　　　</w:t>
      </w:r>
      <w:r>
        <w:rPr>
          <w:rFonts w:ascii="ＭＳ ゴシック" w:hAnsi="ＭＳ ゴシック" w:eastAsia="ＭＳ ゴシック"/>
          <w:color w:val="000000"/>
          <w:kern w:val="0"/>
        </w:rPr>
        <w:t>には、「販売数量の減少」又は「売上高の減少」等を入れる。</w:t>
      </w:r>
    </w:p>
    <w:p>
      <w:pPr>
        <w:pStyle w:val="Normal"/>
        <w:suppressAutoHyphens w:val="true"/>
        <w:spacing w:lineRule="exact" w:line="240"/>
        <w:ind w:left="1230" w:hanging="123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（留意事項）</w:t>
      </w:r>
    </w:p>
    <w:p>
      <w:pPr>
        <w:pStyle w:val="ListParagraph"/>
        <w:numPr>
          <w:ilvl w:val="0"/>
          <w:numId w:val="1"/>
        </w:numPr>
        <w:suppressAutoHyphens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本認定とは別に、金融機関及び信用保証協会による金融上の審査があります。</w:t>
      </w:r>
    </w:p>
    <w:p>
      <w:pPr>
        <w:pStyle w:val="ListParagraph"/>
        <w:numPr>
          <w:ilvl w:val="0"/>
          <w:numId w:val="1"/>
        </w:numPr>
        <w:suppressAutoHyphens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Normal"/>
        <w:widowControl/>
        <w:jc w:val="left"/>
        <w:rPr>
          <w:rFonts w:ascii="ＭＳ ゴシック" w:hAnsi="ＭＳ ゴシック" w:eastAsia="ＭＳ ゴシック"/>
          <w:sz w:val="24"/>
        </w:rPr>
      </w:pPr>
      <w:r>
        <w:rPr/>
      </w:r>
    </w:p>
    <w:sectPr>
      <w:headerReference w:type="default" r:id="rId2"/>
      <w:type w:val="nextPage"/>
      <w:pgSz w:w="11906" w:h="16838"/>
      <w:pgMar w:left="1134" w:right="1134" w:gutter="0" w:header="851" w:top="1134" w:footer="0" w:bottom="1134"/>
      <w:pgNumType w:fmt="decimal"/>
      <w:formProt w:val="false"/>
      <w:textDirection w:val="lrTb"/>
      <w:docGrid w:type="default" w:linePitch="360"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jc w:val="right"/>
      <w:rPr>
        <w:color w:val="FF0000"/>
        <w:sz w:val="24"/>
      </w:rPr>
    </w:pPr>
    <w:r>
      <w:rPr>
        <w:color w:val="FF0000"/>
        <w:sz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EnclosedCircle"/>
      <w:lvlText w:val="%1"/>
      <w:lvlJc w:val="left"/>
      <w:pPr>
        <w:tabs>
          <w:tab w:val="num" w:pos="0"/>
        </w:tabs>
        <w:ind w:left="650" w:hanging="440"/>
      </w:pPr>
      <w:rPr/>
    </w:lvl>
    <w:lvl w:ilvl="1">
      <w:start w:val="1"/>
      <w:numFmt w:val="aiueoFullWidth"/>
      <w:lvlText w:val="(%2)"/>
      <w:lvlJc w:val="left"/>
      <w:pPr>
        <w:tabs>
          <w:tab w:val="num" w:pos="0"/>
        </w:tabs>
        <w:ind w:left="1090" w:hanging="440"/>
      </w:pPr>
      <w:rPr/>
    </w:lvl>
    <w:lvl w:ilvl="2">
      <w:start w:val="1"/>
      <w:numFmt w:val="decimalEnclosedCircle"/>
      <w:lvlText w:val="%3"/>
      <w:lvlJc w:val="left"/>
      <w:pPr>
        <w:tabs>
          <w:tab w:val="num" w:pos="0"/>
        </w:tabs>
        <w:ind w:left="1530" w:hanging="440"/>
      </w:pPr>
      <w:rPr/>
    </w:lvl>
    <w:lvl w:ilvl="3">
      <w:start w:val="1"/>
      <w:numFmt w:val="decimal"/>
      <w:lvlText w:val="%4."/>
      <w:lvlJc w:val="left"/>
      <w:pPr>
        <w:tabs>
          <w:tab w:val="num" w:pos="0"/>
        </w:tabs>
        <w:ind w:left="1970" w:hanging="440"/>
      </w:pPr>
      <w:rPr/>
    </w:lvl>
    <w:lvl w:ilvl="4">
      <w:start w:val="1"/>
      <w:numFmt w:val="aiueoFullWidth"/>
      <w:lvlText w:val="(%5)"/>
      <w:lvlJc w:val="left"/>
      <w:pPr>
        <w:tabs>
          <w:tab w:val="num" w:pos="0"/>
        </w:tabs>
        <w:ind w:left="2410" w:hanging="440"/>
      </w:pPr>
      <w:rPr/>
    </w:lvl>
    <w:lvl w:ilvl="5">
      <w:start w:val="1"/>
      <w:numFmt w:val="decimalEnclosedCircle"/>
      <w:lvlText w:val="%6"/>
      <w:lvlJc w:val="left"/>
      <w:pPr>
        <w:tabs>
          <w:tab w:val="num" w:pos="0"/>
        </w:tabs>
        <w:ind w:left="2850" w:hanging="440"/>
      </w:pPr>
      <w:rPr/>
    </w:lvl>
    <w:lvl w:ilvl="6">
      <w:start w:val="1"/>
      <w:numFmt w:val="decimal"/>
      <w:lvlText w:val="%7."/>
      <w:lvlJc w:val="left"/>
      <w:pPr>
        <w:tabs>
          <w:tab w:val="num" w:pos="0"/>
        </w:tabs>
        <w:ind w:left="3290" w:hanging="440"/>
      </w:pPr>
      <w:rPr/>
    </w:lvl>
    <w:lvl w:ilvl="7">
      <w:start w:val="1"/>
      <w:numFmt w:val="aiueoFullWidth"/>
      <w:lvlText w:val="(%8)"/>
      <w:lvlJc w:val="left"/>
      <w:pPr>
        <w:tabs>
          <w:tab w:val="num" w:pos="0"/>
        </w:tabs>
        <w:ind w:left="3730" w:hanging="440"/>
      </w:pPr>
      <w:rPr/>
    </w:lvl>
    <w:lvl w:ilvl="8">
      <w:start w:val="1"/>
      <w:numFmt w:val="decimalEnclosedCircle"/>
      <w:lvlText w:val="%9"/>
      <w:lvlJc w:val="left"/>
      <w:pPr>
        <w:tabs>
          <w:tab w:val="num" w:pos="0"/>
        </w:tabs>
        <w:ind w:left="4170" w:hanging="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8"/>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Times New Roman" w:asciiTheme="minorHAnsi" w:eastAsiaTheme="minorEastAsia" w:hAnsiTheme="minorHAnsi"/>
        <w:kern w:val="2"/>
        <w:sz w:val="21"/>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43fe"/>
    <w:pPr>
      <w:widowControl w:val="false"/>
      <w:suppressAutoHyphens w:val="true"/>
      <w:bidi w:val="0"/>
      <w:spacing w:before="0" w:after="0"/>
      <w:jc w:val="both"/>
    </w:pPr>
    <w:rPr>
      <w:rFonts w:ascii="Century" w:hAnsi="Century" w:eastAsia="" w:cs="Times New Roman" w:asciiTheme="minorHAnsi" w:eastAsiaTheme="minorEastAsia" w:hAnsiTheme="minorHAnsi"/>
      <w:color w:val="auto"/>
      <w:kern w:val="2"/>
      <w:sz w:val="21"/>
      <w:szCs w:val="20"/>
      <w:lang w:val="en-US" w:eastAsia="ja-JP" w:bidi="ar-SA"/>
    </w:rPr>
  </w:style>
  <w:style w:type="paragraph" w:styleId="1">
    <w:name w:val="Heading 1"/>
    <w:basedOn w:val="Normal"/>
    <w:next w:val="Normal"/>
    <w:link w:val="11"/>
    <w:qFormat/>
    <w:pPr>
      <w:keepNext w:val="true"/>
      <w:outlineLvl w:val="0"/>
    </w:pPr>
    <w:rPr>
      <w:rFonts w:ascii="Arial" w:hAnsi="Arial" w:eastAsia="" w:asciiTheme="majorHAnsi" w:eastAsiaTheme="majorEastAsia" w:hAnsiTheme="majorHAnsi"/>
      <w:sz w:val="24"/>
    </w:rPr>
  </w:style>
  <w:style w:type="paragraph" w:styleId="2">
    <w:name w:val="Heading 2"/>
    <w:basedOn w:val="Normal"/>
    <w:next w:val="Normal"/>
    <w:link w:val="21"/>
    <w:qFormat/>
    <w:pPr>
      <w:keepNext w:val="true"/>
      <w:outlineLvl w:val="1"/>
    </w:pPr>
    <w:rPr>
      <w:rFonts w:ascii="Arial" w:hAnsi="Arial" w:eastAsia="" w:asciiTheme="majorHAnsi" w:eastAsiaTheme="majorEastAsia" w:hAnsiTheme="majorHAnsi"/>
    </w:rPr>
  </w:style>
  <w:style w:type="character" w:styleId="DefaultParagraphFont" w:default="1">
    <w:name w:val="Default Paragraph Font"/>
    <w:uiPriority w:val="1"/>
    <w:semiHidden/>
    <w:unhideWhenUsed/>
    <w:qFormat/>
    <w:rPr/>
  </w:style>
  <w:style w:type="character" w:styleId="11" w:customStyle="1">
    <w:name w:val="見出し 1 (文字)"/>
    <w:basedOn w:val="DefaultParagraphFont"/>
    <w:qFormat/>
    <w:rPr>
      <w:rFonts w:ascii="Arial" w:hAnsi="Arial" w:eastAsia="" w:asciiTheme="majorHAnsi" w:eastAsiaTheme="majorEastAsia" w:hAnsiTheme="majorHAnsi"/>
      <w:sz w:val="24"/>
    </w:rPr>
  </w:style>
  <w:style w:type="character" w:styleId="21" w:customStyle="1">
    <w:name w:val="見出し 2 (文字)"/>
    <w:basedOn w:val="DefaultParagraphFont"/>
    <w:qFormat/>
    <w:rPr>
      <w:rFonts w:ascii="Arial" w:hAnsi="Arial" w:eastAsia="" w:asciiTheme="majorHAnsi" w:eastAsiaTheme="majorEastAsia" w:hAnsiTheme="majorHAnsi"/>
    </w:rPr>
  </w:style>
  <w:style w:type="character" w:styleId="Style12" w:customStyle="1">
    <w:name w:val="ヘッダー (文字)"/>
    <w:basedOn w:val="DefaultParagraphFont"/>
    <w:qFormat/>
    <w:rPr/>
  </w:style>
  <w:style w:type="character" w:styleId="Style13" w:customStyle="1">
    <w:name w:val="フッター (文字)"/>
    <w:basedOn w:val="DefaultParagraphFont"/>
    <w:qFormat/>
    <w:rPr/>
  </w:style>
  <w:style w:type="character" w:styleId="Style14" w:customStyle="1">
    <w:name w:val="吹き出し (文字)"/>
    <w:basedOn w:val="DefaultParagraphFont"/>
    <w:link w:val="BalloonText"/>
    <w:qFormat/>
    <w:rPr>
      <w:rFonts w:ascii="Arial" w:hAnsi="Arial" w:eastAsia="" w:asciiTheme="majorHAnsi" w:eastAsiaTheme="majorEastAsia" w:hAnsiTheme="majorHAnsi"/>
      <w:sz w:val="18"/>
    </w:rPr>
  </w:style>
  <w:style w:type="character" w:styleId="PlaceholderText">
    <w:name w:val="Placeholder Text"/>
    <w:basedOn w:val="DefaultParagraphFont"/>
    <w:qFormat/>
    <w:rPr>
      <w:color w:val="808080"/>
    </w:rPr>
  </w:style>
  <w:style w:type="character" w:styleId="Annotationreference">
    <w:name w:val="annotation reference"/>
    <w:basedOn w:val="DefaultParagraphFont"/>
    <w:semiHidden/>
    <w:qFormat/>
    <w:rPr>
      <w:sz w:val="18"/>
    </w:rPr>
  </w:style>
  <w:style w:type="character" w:styleId="Style15" w:customStyle="1">
    <w:name w:val="コメント文字列 (文字)"/>
    <w:basedOn w:val="DefaultParagraphFont"/>
    <w:link w:val="Annotationtext"/>
    <w:qFormat/>
    <w:rPr/>
  </w:style>
  <w:style w:type="character" w:styleId="Style16" w:customStyle="1">
    <w:name w:val="コメント内容 (文字)"/>
    <w:basedOn w:val="Style15"/>
    <w:link w:val="Annotationsubject"/>
    <w:qFormat/>
    <w:rPr>
      <w:b/>
    </w:rPr>
  </w:style>
  <w:style w:type="character" w:styleId="Pagenumber">
    <w:name w:val="page number"/>
    <w:basedOn w:val="DefaultParagraphFont"/>
    <w:qFormat/>
    <w:rPr/>
  </w:style>
  <w:style w:type="character" w:styleId="Style17" w:customStyle="1">
    <w:name w:val="日付 (文字)"/>
    <w:basedOn w:val="DefaultParagraphFont"/>
    <w:link w:val="Date"/>
    <w:qFormat/>
    <w:rPr>
      <w:rFonts w:ascii="Century" w:hAnsi="Century" w:eastAsia="ＭＳ 明朝"/>
    </w:rPr>
  </w:style>
  <w:style w:type="character" w:styleId="Style18" w:customStyle="1">
    <w:name w:val="書式なし (文字)"/>
    <w:basedOn w:val="DefaultParagraphFont"/>
    <w:link w:val="PlainText"/>
    <w:qFormat/>
    <w:rPr>
      <w:rFonts w:ascii="ＭＳ ゴシック" w:hAnsi="ＭＳ ゴシック" w:eastAsia="ＭＳ ゴシック"/>
      <w:sz w:val="20"/>
    </w:rPr>
  </w:style>
  <w:style w:type="character" w:styleId="Style19" w:customStyle="1">
    <w:name w:val="記 (文字)"/>
    <w:basedOn w:val="DefaultParagraphFont"/>
    <w:link w:val="NoteHeading"/>
    <w:qFormat/>
    <w:rPr>
      <w:rFonts w:ascii="ＭＳ ゴシック" w:hAnsi="ＭＳ ゴシック" w:eastAsia="ＭＳ ゴシック"/>
      <w:color w:val="000000"/>
      <w:kern w:val="0"/>
    </w:rPr>
  </w:style>
  <w:style w:type="character" w:styleId="Style20" w:customStyle="1">
    <w:name w:val="結語 (文字)"/>
    <w:basedOn w:val="DefaultParagraphFont"/>
    <w:link w:val="Closing"/>
    <w:qFormat/>
    <w:rPr>
      <w:rFonts w:ascii="ＭＳ ゴシック" w:hAnsi="ＭＳ ゴシック" w:eastAsia="ＭＳ ゴシック"/>
      <w:color w:val="000000"/>
      <w:kern w:val="0"/>
    </w:rPr>
  </w:style>
  <w:style w:type="character" w:styleId="Style21">
    <w:name w:val="Footnote Reference"/>
    <w:rPr>
      <w:vertAlign w:val="superscript"/>
    </w:rPr>
  </w:style>
  <w:style w:type="character" w:styleId="FootnoteCharacters">
    <w:name w:val="Footnote Characters"/>
    <w:basedOn w:val="DefaultParagraphFont"/>
    <w:semiHidden/>
    <w:qFormat/>
    <w:rPr>
      <w:vertAlign w:val="superscript"/>
    </w:rPr>
  </w:style>
  <w:style w:type="character" w:styleId="Style22">
    <w:name w:val="Endnote Reference"/>
    <w:rPr>
      <w:vertAlign w:val="superscript"/>
    </w:rPr>
  </w:style>
  <w:style w:type="character" w:styleId="EndnoteCharacters">
    <w:name w:val="Endnote Characters"/>
    <w:basedOn w:val="DefaultParagraphFont"/>
    <w:semiHidden/>
    <w:qFormat/>
    <w:rPr>
      <w:vertAlign w:val="superscript"/>
    </w:rPr>
  </w:style>
  <w:style w:type="paragraph" w:styleId="Style23">
    <w:name w:val="見出し"/>
    <w:basedOn w:val="Normal"/>
    <w:next w:val="Style24"/>
    <w:qFormat/>
    <w:pPr>
      <w:keepNext w:val="true"/>
      <w:spacing w:before="240" w:after="120"/>
    </w:pPr>
    <w:rPr>
      <w:rFonts w:ascii="Liberation Sans" w:hAnsi="Liberation Sans" w:eastAsia="游ゴシック" w:cs="Arial"/>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索引"/>
    <w:basedOn w:val="Normal"/>
    <w:qFormat/>
    <w:pPr>
      <w:suppressLineNumbers/>
    </w:pPr>
    <w:rPr>
      <w:rFonts w:cs="Arial"/>
      <w:lang w:val="zxx" w:eastAsia="zxx" w:bidi="zxx"/>
    </w:rPr>
  </w:style>
  <w:style w:type="paragraph" w:styleId="Style28">
    <w:name w:val="Index Heading"/>
    <w:basedOn w:val="Style23"/>
    <w:pPr/>
    <w:rPr/>
  </w:style>
  <w:style w:type="paragraph" w:styleId="Style29">
    <w:name w:val="TOC Heading"/>
    <w:basedOn w:val="1"/>
    <w:next w:val="Normal"/>
    <w:qFormat/>
    <w:pPr>
      <w:outlineLvl w:val="9"/>
    </w:pPr>
    <w:rPr/>
  </w:style>
  <w:style w:type="paragraph" w:styleId="Style30">
    <w:name w:val="ヘッダーとフッター"/>
    <w:basedOn w:val="Normal"/>
    <w:qFormat/>
    <w:pPr/>
    <w:rPr/>
  </w:style>
  <w:style w:type="paragraph" w:styleId="Style31">
    <w:name w:val="Header"/>
    <w:basedOn w:val="Normal"/>
    <w:link w:val="Style12"/>
    <w:pPr>
      <w:tabs>
        <w:tab w:val="clear" w:pos="840"/>
        <w:tab w:val="center" w:pos="4252" w:leader="none"/>
        <w:tab w:val="right" w:pos="8504" w:leader="none"/>
      </w:tabs>
      <w:snapToGrid w:val="false"/>
    </w:pPr>
    <w:rPr/>
  </w:style>
  <w:style w:type="paragraph" w:styleId="Style32">
    <w:name w:val="Footer"/>
    <w:basedOn w:val="Normal"/>
    <w:link w:val="Style13"/>
    <w:pPr>
      <w:tabs>
        <w:tab w:val="clear" w:pos="840"/>
        <w:tab w:val="center" w:pos="4252" w:leader="none"/>
        <w:tab w:val="right" w:pos="8504" w:leader="none"/>
      </w:tabs>
      <w:snapToGrid w:val="false"/>
    </w:pPr>
    <w:rPr/>
  </w:style>
  <w:style w:type="paragraph" w:styleId="BalloonText">
    <w:name w:val="Balloon Text"/>
    <w:basedOn w:val="Normal"/>
    <w:link w:val="Style14"/>
    <w:semiHidden/>
    <w:qFormat/>
    <w:pPr/>
    <w:rPr>
      <w:rFonts w:ascii="Arial" w:hAnsi="Arial" w:eastAsia="" w:asciiTheme="majorHAnsi" w:eastAsiaTheme="majorEastAsia" w:hAnsiTheme="majorHAnsi"/>
      <w:sz w:val="18"/>
    </w:rPr>
  </w:style>
  <w:style w:type="paragraph" w:styleId="Annotationtext">
    <w:name w:val="annotation text"/>
    <w:basedOn w:val="Normal"/>
    <w:link w:val="Style15"/>
    <w:semiHidden/>
    <w:qFormat/>
    <w:pPr>
      <w:jc w:val="left"/>
    </w:pPr>
    <w:rPr/>
  </w:style>
  <w:style w:type="paragraph" w:styleId="Annotationsubject">
    <w:name w:val="annotation subject"/>
    <w:basedOn w:val="Annotationtext"/>
    <w:next w:val="Annotationtext"/>
    <w:link w:val="Style16"/>
    <w:semiHidden/>
    <w:qFormat/>
    <w:pPr/>
    <w:rPr>
      <w:b/>
    </w:rPr>
  </w:style>
  <w:style w:type="paragraph" w:styleId="Revision">
    <w:name w:val="Revision"/>
    <w:qFormat/>
    <w:pPr>
      <w:widowControl/>
      <w:suppressAutoHyphens w:val="true"/>
      <w:bidi w:val="0"/>
      <w:spacing w:before="0" w:after="0"/>
      <w:jc w:val="left"/>
    </w:pPr>
    <w:rPr>
      <w:rFonts w:ascii="Century" w:hAnsi="Century" w:eastAsia="" w:cs="Times New Roman" w:asciiTheme="minorHAnsi" w:eastAsiaTheme="minorEastAsia" w:hAnsiTheme="minorHAnsi"/>
      <w:color w:val="auto"/>
      <w:kern w:val="2"/>
      <w:sz w:val="21"/>
      <w:szCs w:val="20"/>
      <w:lang w:val="en-US" w:eastAsia="ja-JP" w:bidi="ar-SA"/>
    </w:rPr>
  </w:style>
  <w:style w:type="paragraph" w:styleId="ListParagraph">
    <w:name w:val="List Paragraph"/>
    <w:basedOn w:val="Normal"/>
    <w:qFormat/>
    <w:pPr>
      <w:ind w:left="840" w:hanging="0"/>
    </w:pPr>
    <w:rPr>
      <w:rFonts w:ascii="Century" w:hAnsi="Century" w:eastAsia="ＭＳ 明朝"/>
    </w:rPr>
  </w:style>
  <w:style w:type="paragraph" w:styleId="Date">
    <w:name w:val="Date"/>
    <w:basedOn w:val="Normal"/>
    <w:next w:val="Normal"/>
    <w:link w:val="Style17"/>
    <w:qFormat/>
    <w:pPr/>
    <w:rPr>
      <w:rFonts w:ascii="Century" w:hAnsi="Century" w:eastAsia="ＭＳ 明朝"/>
    </w:rPr>
  </w:style>
  <w:style w:type="paragraph" w:styleId="PlainText">
    <w:name w:val="Plain Text"/>
    <w:basedOn w:val="Normal"/>
    <w:link w:val="Style18"/>
    <w:qFormat/>
    <w:pPr>
      <w:jc w:val="left"/>
    </w:pPr>
    <w:rPr>
      <w:rFonts w:ascii="ＭＳ ゴシック" w:hAnsi="ＭＳ ゴシック" w:eastAsia="ＭＳ ゴシック"/>
      <w:sz w:val="20"/>
    </w:rPr>
  </w:style>
  <w:style w:type="paragraph" w:styleId="NoteHeading">
    <w:name w:val="Note Heading"/>
    <w:basedOn w:val="Normal"/>
    <w:next w:val="Normal"/>
    <w:link w:val="Style19"/>
    <w:qFormat/>
    <w:pPr>
      <w:jc w:val="center"/>
    </w:pPr>
    <w:rPr>
      <w:rFonts w:ascii="ＭＳ ゴシック" w:hAnsi="ＭＳ ゴシック" w:eastAsia="ＭＳ ゴシック"/>
      <w:color w:val="000000"/>
      <w:kern w:val="0"/>
    </w:rPr>
  </w:style>
  <w:style w:type="paragraph" w:styleId="Closing">
    <w:name w:val="Closing"/>
    <w:basedOn w:val="Normal"/>
    <w:link w:val="Style20"/>
    <w:qFormat/>
    <w:pPr>
      <w:jc w:val="right"/>
    </w:pPr>
    <w:rPr>
      <w:rFonts w:ascii="ＭＳ ゴシック" w:hAnsi="ＭＳ ゴシック" w:eastAsia="ＭＳ ゴシック"/>
      <w:color w:val="000000"/>
      <w:kern w:val="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d">
    <w:name w:val="Table Grid"/>
    <w:basedOn w:val="a1"/>
    <w:pPr>
      <w:jc w:val="both"/>
    </w:pPr>
    <w:rPr>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LibreOffice/7.4.0.3$Windows_X86_64 LibreOffice_project/f85e47c08ddd19c015c0114a68350214f7066f5a</Application>
  <AppVersion>15.0000</AppVersion>
  <Pages>1</Pages>
  <Words>725</Words>
  <Characters>728</Characters>
  <CharactersWithSpaces>1308</CharactersWithSpaces>
  <Paragraphs>34</Paragraphs>
  <Company>経済産業省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2024-06-19T08:28:00Z</dcterms:created>
  <dc:creator>情報システム厚生課２</dc:creator>
  <dc:description/>
  <dc:language>ja-JP</dc:language>
  <cp:lastModifiedBy/>
  <cp:lastPrinted>2024-06-19T05:12:00Z</cp:lastPrinted>
  <dcterms:modified xsi:type="dcterms:W3CDTF">2024-12-24T17:15:28Z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